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1F62A0">
        <w:rPr>
          <w:rFonts w:ascii="Times New Roman" w:eastAsia="Times New Roman" w:hAnsi="Times New Roman" w:cs="Times New Roman"/>
          <w:b/>
          <w:sz w:val="24"/>
        </w:rPr>
        <w:t>МБДОУ «</w:t>
      </w:r>
      <w:proofErr w:type="spellStart"/>
      <w:r w:rsidR="001F62A0">
        <w:rPr>
          <w:rFonts w:ascii="Times New Roman" w:eastAsia="Times New Roman" w:hAnsi="Times New Roman" w:cs="Times New Roman"/>
          <w:b/>
          <w:sz w:val="24"/>
        </w:rPr>
        <w:t>Пилюгинский</w:t>
      </w:r>
      <w:proofErr w:type="spellEnd"/>
      <w:r w:rsidR="001F62A0">
        <w:rPr>
          <w:rFonts w:ascii="Times New Roman" w:eastAsia="Times New Roman" w:hAnsi="Times New Roman" w:cs="Times New Roman"/>
          <w:b/>
          <w:sz w:val="24"/>
        </w:rPr>
        <w:t xml:space="preserve"> детский сад «Колобок»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F62A0" w:rsidRDefault="001F62A0" w:rsidP="001F62A0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1F62A0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1F62A0">
        <w:rPr>
          <w:rFonts w:ascii="Times New Roman" w:eastAsia="Times New Roman" w:hAnsi="Times New Roman" w:cs="Times New Roman"/>
          <w:sz w:val="24"/>
        </w:rPr>
        <w:t>Пилюгинский</w:t>
      </w:r>
      <w:proofErr w:type="spellEnd"/>
      <w:r w:rsidRPr="001F62A0">
        <w:rPr>
          <w:rFonts w:ascii="Times New Roman" w:eastAsia="Times New Roman" w:hAnsi="Times New Roman" w:cs="Times New Roman"/>
          <w:sz w:val="24"/>
        </w:rPr>
        <w:t xml:space="preserve"> детский сад «Колобок»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Оренбургская область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Бугурусланский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район село Пилюгино, улица Садовая,26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F62A0">
        <w:rPr>
          <w:rFonts w:ascii="Times New Roman" w:eastAsia="Times New Roman" w:hAnsi="Times New Roman" w:cs="Times New Roman"/>
          <w:sz w:val="24"/>
          <w:szCs w:val="24"/>
        </w:rPr>
        <w:t>8(35352)50127</w:t>
      </w:r>
    </w:p>
    <w:p w:rsidR="00C66209" w:rsidRPr="001F62A0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F62A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r w:rsidR="001F62A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proofErr w:type="gramEnd"/>
      <w:r w:rsidRPr="001F62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1F62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Pil-kolobok@yandex.ru</w:t>
      </w:r>
    </w:p>
    <w:p w:rsidR="00C66209" w:rsidRPr="001F62A0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Pr="001759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</w:t>
      </w:r>
      <w:proofErr w:type="spellStart"/>
      <w:r w:rsidR="001F62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pil</w:t>
      </w:r>
      <w:proofErr w:type="spellEnd"/>
      <w:r w:rsidR="001F62A0" w:rsidRPr="001F62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-</w:t>
      </w:r>
      <w:proofErr w:type="spellStart"/>
      <w:r w:rsidR="001F62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kolobok</w:t>
      </w:r>
      <w:proofErr w:type="spellEnd"/>
      <w:r w:rsidR="001F62A0" w:rsidRPr="001F62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="001F62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my</w:t>
      </w:r>
      <w:r w:rsidR="001F62A0" w:rsidRPr="001F62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1.</w:t>
      </w:r>
      <w:proofErr w:type="spellStart"/>
      <w:r w:rsidR="001F62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1F62A0" w:rsidRDefault="001F62A0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 посещают 47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В Детском саду сформировано 3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Из них: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1</w:t>
      </w:r>
      <w:r w:rsidR="001F62A0">
        <w:rPr>
          <w:rFonts w:ascii="Times New Roman" w:eastAsia="Times New Roman" w:hAnsi="Times New Roman" w:cs="Times New Roman"/>
          <w:sz w:val="24"/>
          <w:szCs w:val="24"/>
        </w:rPr>
        <w:t>,5 до 3-х лет – 6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</w:t>
      </w:r>
      <w:r w:rsidR="001F62A0">
        <w:rPr>
          <w:rFonts w:ascii="Times New Roman" w:eastAsia="Times New Roman" w:hAnsi="Times New Roman" w:cs="Times New Roman"/>
          <w:sz w:val="24"/>
          <w:szCs w:val="24"/>
        </w:rPr>
        <w:t>ей направленности для детей от 3-х до 5-ти лет -  20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</w:t>
      </w:r>
      <w:r w:rsidR="001F62A0">
        <w:rPr>
          <w:rFonts w:ascii="Times New Roman" w:eastAsia="Times New Roman" w:hAnsi="Times New Roman" w:cs="Times New Roman"/>
          <w:sz w:val="24"/>
          <w:szCs w:val="24"/>
        </w:rPr>
        <w:t>ей направленности для детей от 5-ти до 7-ми лет – 21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1F62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109"/>
        <w:gridCol w:w="3110"/>
        <w:gridCol w:w="3244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1F62A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1F62A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1F62A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1F62A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32,7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1F62A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1F62A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978"/>
        <w:gridCol w:w="1767"/>
        <w:gridCol w:w="3718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1F62A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1F62A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1F62A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</w:t>
      </w:r>
      <w:r w:rsidR="001F62A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ведётся по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дошкольного образования Муниципального дошкольного образовател</w:t>
      </w:r>
      <w:r w:rsidR="001F62A0">
        <w:rPr>
          <w:rFonts w:ascii="Times New Roman" w:eastAsia="Times New Roman" w:hAnsi="Times New Roman" w:cs="Times New Roman"/>
          <w:sz w:val="24"/>
          <w:szCs w:val="24"/>
        </w:rPr>
        <w:t>ьного учреждения «</w:t>
      </w:r>
      <w:proofErr w:type="spellStart"/>
      <w:r w:rsidR="001F62A0">
        <w:rPr>
          <w:rFonts w:ascii="Times New Roman" w:eastAsia="Times New Roman" w:hAnsi="Times New Roman" w:cs="Times New Roman"/>
          <w:sz w:val="24"/>
          <w:szCs w:val="24"/>
        </w:rPr>
        <w:t>Пилюгинский</w:t>
      </w:r>
      <w:proofErr w:type="spellEnd"/>
      <w:r w:rsidR="001F62A0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«Колобок»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 xml:space="preserve">у осуществлял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 xml:space="preserve">ми детей по реализации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Образовательная деятельность по общеобразовательным п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>рограммам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>нию в школе детей 6-7 лет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 Всего о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>бследовано 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Не прошёл диагностику 1 ребёнок по причине длительного отпуска.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3D3ABE" w:rsidRDefault="003D3ABE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3D3ABE" w:rsidRDefault="003D3ABE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 xml:space="preserve">ческой диагностики </w:t>
      </w:r>
      <w:proofErr w:type="gramStart"/>
      <w:r w:rsidR="003D3ABE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="003D3ABE">
        <w:rPr>
          <w:rFonts w:ascii="Times New Roman" w:eastAsia="Times New Roman" w:hAnsi="Times New Roman" w:cs="Times New Roman"/>
          <w:sz w:val="24"/>
          <w:szCs w:val="24"/>
        </w:rPr>
        <w:t xml:space="preserve">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66209" w:rsidRPr="0017592F" w:rsidRDefault="003D3ABE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6209" w:rsidRPr="0017592F" w:rsidRDefault="003D3ABE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6209" w:rsidRPr="0017592F" w:rsidRDefault="003D3AB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="003D3ABE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2893"/>
        <w:gridCol w:w="2207"/>
        <w:gridCol w:w="973"/>
        <w:gridCol w:w="2980"/>
      </w:tblGrid>
      <w:tr w:rsidR="003D3ABE" w:rsidRPr="0017592F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3D3ABE" w:rsidRPr="0017592F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:rsidTr="003D3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3D3ABE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3D3AB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3D3AB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3D3AB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3D3ABE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D3AB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3D3AB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</w:tbl>
    <w:p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втором 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>полугодии 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Воспитанники учреждения принимали участие в различных конку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 xml:space="preserve">рсах, проводимых в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районе и на федеральном уровне.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 w:rsidR="003D3ABE">
        <w:rPr>
          <w:rFonts w:ascii="Times New Roman" w:eastAsia="Times New Roman" w:hAnsi="Times New Roman" w:cs="Times New Roman"/>
          <w:sz w:val="24"/>
          <w:szCs w:val="24"/>
        </w:rPr>
        <w:t>елательном отношении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60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1F62A0"/>
    <w:rsid w:val="003D3ABE"/>
    <w:rsid w:val="004052AA"/>
    <w:rsid w:val="005715A2"/>
    <w:rsid w:val="006011E6"/>
    <w:rsid w:val="006362DC"/>
    <w:rsid w:val="009020B4"/>
    <w:rsid w:val="00C66209"/>
    <w:rsid w:val="00CA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2023-07-31T14:21:00Z</dcterms:created>
  <dcterms:modified xsi:type="dcterms:W3CDTF">2023-07-31T16:42:00Z</dcterms:modified>
</cp:coreProperties>
</file>